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BF" w:rsidRPr="00970ABF" w:rsidRDefault="009F6F53" w:rsidP="00970ABF">
      <w:pPr>
        <w:widowControl/>
        <w:adjustRightInd w:val="0"/>
        <w:snapToGrid w:val="0"/>
        <w:spacing w:line="300" w:lineRule="atLeast"/>
        <w:jc w:val="center"/>
        <w:rPr>
          <w:rFonts w:ascii="宋体" w:eastAsia="宋体" w:hAnsi="宋体" w:cs="宋体"/>
          <w:b/>
          <w:kern w:val="0"/>
          <w:sz w:val="22"/>
          <w:szCs w:val="24"/>
        </w:rPr>
      </w:pPr>
      <w:r w:rsidRPr="009F6F53">
        <w:rPr>
          <w:rFonts w:ascii="Times New Roman" w:eastAsia="方正小标宋简体" w:hAnsi="宋体" w:cs="宋体" w:hint="eastAsia"/>
          <w:b/>
          <w:snapToGrid w:val="0"/>
          <w:color w:val="000000"/>
          <w:kern w:val="0"/>
          <w:sz w:val="32"/>
          <w:szCs w:val="24"/>
        </w:rPr>
        <w:t>危险化学品重大危险</w:t>
      </w:r>
      <w:proofErr w:type="gramStart"/>
      <w:r w:rsidRPr="009F6F53">
        <w:rPr>
          <w:rFonts w:ascii="Times New Roman" w:eastAsia="方正小标宋简体" w:hAnsi="宋体" w:cs="宋体" w:hint="eastAsia"/>
          <w:b/>
          <w:snapToGrid w:val="0"/>
          <w:color w:val="000000"/>
          <w:kern w:val="0"/>
          <w:sz w:val="32"/>
          <w:szCs w:val="24"/>
        </w:rPr>
        <w:t>源监督</w:t>
      </w:r>
      <w:proofErr w:type="gramEnd"/>
      <w:r w:rsidRPr="009F6F53">
        <w:rPr>
          <w:rFonts w:ascii="Times New Roman" w:eastAsia="方正小标宋简体" w:hAnsi="宋体" w:cs="宋体" w:hint="eastAsia"/>
          <w:b/>
          <w:snapToGrid w:val="0"/>
          <w:color w:val="000000"/>
          <w:kern w:val="0"/>
          <w:sz w:val="32"/>
          <w:szCs w:val="24"/>
        </w:rPr>
        <w:t>管理暂行规定</w:t>
      </w:r>
    </w:p>
    <w:p w:rsidR="00036232" w:rsidRDefault="00036232" w:rsidP="00036232">
      <w:pPr>
        <w:snapToGrid w:val="0"/>
        <w:spacing w:before="100" w:beforeAutospacing="1" w:after="312" w:line="380" w:lineRule="atLeast"/>
        <w:jc w:val="center"/>
      </w:pPr>
      <w:r>
        <w:rPr>
          <w:rFonts w:hint="eastAsia"/>
          <w:b/>
          <w:bCs/>
          <w:sz w:val="36"/>
          <w:szCs w:val="36"/>
        </w:rPr>
        <w:t>国家安全生产监督管理总局</w:t>
      </w:r>
      <w:r w:rsidRPr="001B3996">
        <w:rPr>
          <w:rFonts w:ascii="Times New Roman" w:cs="Times New Roman"/>
          <w:b/>
          <w:bCs/>
          <w:sz w:val="36"/>
          <w:szCs w:val="36"/>
        </w:rPr>
        <w:t>令</w:t>
      </w:r>
      <w:r w:rsidR="00F2563B" w:rsidRPr="001B3996">
        <w:rPr>
          <w:rFonts w:ascii="Times New Roman" w:hAnsi="Times New Roman" w:cs="Times New Roman"/>
          <w:b/>
          <w:bCs/>
          <w:sz w:val="36"/>
          <w:szCs w:val="36"/>
        </w:rPr>
        <w:t xml:space="preserve"> </w:t>
      </w:r>
      <w:r w:rsidRPr="001B3996">
        <w:rPr>
          <w:rFonts w:ascii="Times New Roman" w:cs="Times New Roman"/>
          <w:b/>
          <w:bCs/>
          <w:sz w:val="36"/>
          <w:szCs w:val="36"/>
        </w:rPr>
        <w:t>第</w:t>
      </w:r>
      <w:r w:rsidRPr="001B3996">
        <w:rPr>
          <w:rFonts w:ascii="Times New Roman" w:hAnsi="Times New Roman" w:cs="Times New Roman"/>
          <w:b/>
          <w:bCs/>
          <w:sz w:val="36"/>
          <w:szCs w:val="36"/>
        </w:rPr>
        <w:t>40</w:t>
      </w:r>
      <w:r w:rsidRPr="001B3996">
        <w:rPr>
          <w:rFonts w:ascii="Times New Roman" w:cs="Times New Roman"/>
          <w:b/>
          <w:bCs/>
          <w:sz w:val="36"/>
          <w:szCs w:val="36"/>
        </w:rPr>
        <w:t>号</w:t>
      </w:r>
    </w:p>
    <w:p w:rsidR="00036232" w:rsidRPr="0065140D" w:rsidRDefault="00036232" w:rsidP="0065140D">
      <w:pPr>
        <w:snapToGrid w:val="0"/>
        <w:spacing w:before="100" w:beforeAutospacing="1" w:after="312" w:line="360" w:lineRule="auto"/>
        <w:ind w:firstLine="440"/>
        <w:rPr>
          <w:rFonts w:ascii="宋体" w:eastAsia="宋体" w:hAnsi="宋体"/>
          <w:sz w:val="24"/>
          <w:szCs w:val="24"/>
        </w:rPr>
      </w:pPr>
      <w:r w:rsidRPr="0065140D">
        <w:rPr>
          <w:rFonts w:ascii="宋体" w:eastAsia="宋体" w:hAnsi="宋体" w:hint="eastAsia"/>
          <w:sz w:val="24"/>
          <w:szCs w:val="24"/>
        </w:rPr>
        <w:t>《危险化学品重大危险源监督管理暂行规定》已经2011年7月22日国家安全生产监督管理总局局长办公会议审议通过，现予公布，自2011年12月1日起施行。</w:t>
      </w:r>
    </w:p>
    <w:p w:rsidR="00036232" w:rsidRPr="0065140D" w:rsidRDefault="00036232" w:rsidP="0065140D">
      <w:pPr>
        <w:snapToGrid w:val="0"/>
        <w:spacing w:before="100" w:beforeAutospacing="1" w:after="312" w:line="360" w:lineRule="auto"/>
        <w:ind w:firstLine="440"/>
        <w:jc w:val="right"/>
        <w:rPr>
          <w:rFonts w:ascii="宋体" w:eastAsia="宋体" w:hAnsi="宋体"/>
          <w:sz w:val="24"/>
          <w:szCs w:val="24"/>
        </w:rPr>
      </w:pPr>
      <w:r w:rsidRPr="0065140D">
        <w:rPr>
          <w:rFonts w:ascii="宋体" w:eastAsia="宋体" w:hAnsi="宋体" w:hint="eastAsia"/>
          <w:sz w:val="24"/>
          <w:szCs w:val="24"/>
        </w:rPr>
        <w:t>国家安全生产监督管理总局局长 骆琳</w:t>
      </w:r>
    </w:p>
    <w:p w:rsidR="00036232" w:rsidRPr="0065140D" w:rsidRDefault="00036232" w:rsidP="0065140D">
      <w:pPr>
        <w:snapToGrid w:val="0"/>
        <w:spacing w:before="100" w:beforeAutospacing="1" w:after="312" w:line="360" w:lineRule="auto"/>
        <w:ind w:firstLine="440"/>
        <w:jc w:val="right"/>
        <w:rPr>
          <w:rFonts w:ascii="宋体" w:eastAsia="宋体" w:hAnsi="宋体"/>
          <w:sz w:val="24"/>
          <w:szCs w:val="24"/>
        </w:rPr>
      </w:pPr>
      <w:r w:rsidRPr="0065140D">
        <w:rPr>
          <w:rFonts w:ascii="宋体" w:eastAsia="宋体" w:hAnsi="宋体" w:hint="eastAsia"/>
          <w:sz w:val="24"/>
          <w:szCs w:val="24"/>
        </w:rPr>
        <w:t>二○一一年八月五日</w:t>
      </w:r>
    </w:p>
    <w:p w:rsidR="00036232" w:rsidRDefault="00036232" w:rsidP="001B3996">
      <w:pPr>
        <w:widowControl/>
        <w:adjustRightInd w:val="0"/>
        <w:snapToGrid w:val="0"/>
        <w:spacing w:line="300" w:lineRule="atLeast"/>
        <w:jc w:val="center"/>
        <w:rPr>
          <w:rFonts w:ascii="Times New Roman" w:eastAsia="方正小标宋简体" w:hAnsi="宋体" w:cs="宋体"/>
          <w:b/>
          <w:snapToGrid w:val="0"/>
          <w:color w:val="000000"/>
          <w:kern w:val="0"/>
          <w:sz w:val="32"/>
          <w:szCs w:val="24"/>
        </w:rPr>
      </w:pPr>
      <w:r w:rsidRPr="001B3996">
        <w:rPr>
          <w:rFonts w:ascii="Times New Roman" w:eastAsia="方正小标宋简体" w:hAnsi="宋体" w:cs="宋体" w:hint="eastAsia"/>
          <w:b/>
          <w:snapToGrid w:val="0"/>
          <w:color w:val="000000"/>
          <w:kern w:val="0"/>
          <w:sz w:val="32"/>
          <w:szCs w:val="24"/>
        </w:rPr>
        <w:t>危险化学品重大危险</w:t>
      </w:r>
      <w:proofErr w:type="gramStart"/>
      <w:r w:rsidRPr="001B3996">
        <w:rPr>
          <w:rFonts w:ascii="Times New Roman" w:eastAsia="方正小标宋简体" w:hAnsi="宋体" w:cs="宋体" w:hint="eastAsia"/>
          <w:b/>
          <w:snapToGrid w:val="0"/>
          <w:color w:val="000000"/>
          <w:kern w:val="0"/>
          <w:sz w:val="32"/>
          <w:szCs w:val="24"/>
        </w:rPr>
        <w:t>源监督</w:t>
      </w:r>
      <w:proofErr w:type="gramEnd"/>
      <w:r w:rsidRPr="001B3996">
        <w:rPr>
          <w:rFonts w:ascii="Times New Roman" w:eastAsia="方正小标宋简体" w:hAnsi="宋体" w:cs="宋体" w:hint="eastAsia"/>
          <w:b/>
          <w:snapToGrid w:val="0"/>
          <w:color w:val="000000"/>
          <w:kern w:val="0"/>
          <w:sz w:val="32"/>
          <w:szCs w:val="24"/>
        </w:rPr>
        <w:t>管理暂行规定</w:t>
      </w:r>
    </w:p>
    <w:p w:rsidR="001B3996" w:rsidRPr="001B3996" w:rsidRDefault="001B3996" w:rsidP="001B3996">
      <w:pPr>
        <w:widowControl/>
        <w:adjustRightInd w:val="0"/>
        <w:snapToGrid w:val="0"/>
        <w:spacing w:line="300" w:lineRule="atLeast"/>
        <w:jc w:val="center"/>
        <w:rPr>
          <w:rFonts w:ascii="Times New Roman" w:eastAsia="方正小标宋简体" w:hAnsi="宋体" w:cs="宋体"/>
          <w:b/>
          <w:snapToGrid w:val="0"/>
          <w:color w:val="000000"/>
          <w:kern w:val="0"/>
          <w:sz w:val="32"/>
          <w:szCs w:val="24"/>
        </w:rPr>
      </w:pPr>
    </w:p>
    <w:p w:rsidR="00036232" w:rsidRDefault="00036232" w:rsidP="0065140D">
      <w:pPr>
        <w:snapToGrid w:val="0"/>
        <w:spacing w:afterLines="100" w:after="312" w:line="360" w:lineRule="exact"/>
        <w:jc w:val="center"/>
        <w:rPr>
          <w:sz w:val="22"/>
        </w:rPr>
      </w:pPr>
      <w:r>
        <w:rPr>
          <w:rFonts w:ascii="楷体_GB2312" w:eastAsia="楷体_GB2312" w:hint="eastAsia"/>
          <w:sz w:val="22"/>
        </w:rPr>
        <w:t>（2011年8月5日国家安全监管总局令第40号公布  根据2015年5月27日国家安全监管总局令第79号修正）</w:t>
      </w:r>
      <w:r>
        <w:rPr>
          <w:rFonts w:hint="eastAsia"/>
          <w:sz w:val="22"/>
        </w:rPr>
        <w:t> </w:t>
      </w:r>
    </w:p>
    <w:p w:rsidR="0065140D" w:rsidRDefault="0065140D" w:rsidP="0065140D">
      <w:pPr>
        <w:snapToGrid w:val="0"/>
        <w:spacing w:line="360" w:lineRule="auto"/>
        <w:jc w:val="center"/>
        <w:rPr>
          <w:rFonts w:ascii="宋体" w:eastAsia="宋体" w:hAnsi="宋体" w:hint="eastAsia"/>
          <w:b/>
          <w:sz w:val="24"/>
          <w:szCs w:val="24"/>
        </w:rPr>
      </w:pPr>
    </w:p>
    <w:p w:rsidR="00036232" w:rsidRPr="0065140D" w:rsidRDefault="00036232" w:rsidP="0065140D">
      <w:pPr>
        <w:snapToGrid w:val="0"/>
        <w:spacing w:line="360" w:lineRule="auto"/>
        <w:jc w:val="center"/>
        <w:rPr>
          <w:rFonts w:ascii="宋体" w:eastAsia="宋体" w:hAnsi="宋体"/>
          <w:sz w:val="28"/>
          <w:szCs w:val="24"/>
        </w:rPr>
      </w:pPr>
      <w:bookmarkStart w:id="0" w:name="_GoBack"/>
      <w:r w:rsidRPr="0065140D">
        <w:rPr>
          <w:rFonts w:ascii="宋体" w:eastAsia="宋体" w:hAnsi="宋体" w:hint="eastAsia"/>
          <w:b/>
          <w:sz w:val="28"/>
          <w:szCs w:val="24"/>
        </w:rPr>
        <w:t>第一章总则</w:t>
      </w:r>
    </w:p>
    <w:bookmarkEnd w:id="0"/>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第一条</w:t>
      </w:r>
      <w:r w:rsidR="0065140D">
        <w:rPr>
          <w:rFonts w:ascii="宋体" w:eastAsia="宋体" w:hAnsi="宋体" w:hint="eastAsia"/>
          <w:b/>
          <w:sz w:val="24"/>
          <w:szCs w:val="24"/>
        </w:rPr>
        <w:t xml:space="preserve"> </w:t>
      </w:r>
      <w:r w:rsidRPr="0065140D">
        <w:rPr>
          <w:rFonts w:ascii="宋体" w:eastAsia="宋体" w:hAnsi="宋体" w:hint="eastAsia"/>
          <w:sz w:val="24"/>
          <w:szCs w:val="24"/>
        </w:rPr>
        <w:t>为了加强危险化学品重大危险源的安全监督管理，防止和减少危险化学品事故的发生，保障人民群众生命财产安全，根据《中华人民共和国安全生产法》和《危险化学品安全管理条例》等有关法律、行政法规，制定本规定。</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第二条</w:t>
      </w:r>
      <w:r w:rsidR="0065140D">
        <w:rPr>
          <w:rFonts w:ascii="宋体" w:eastAsia="宋体" w:hAnsi="宋体" w:hint="eastAsia"/>
          <w:b/>
          <w:sz w:val="24"/>
          <w:szCs w:val="24"/>
        </w:rPr>
        <w:t xml:space="preserve"> </w:t>
      </w:r>
      <w:r w:rsidRPr="0065140D">
        <w:rPr>
          <w:rFonts w:ascii="宋体" w:eastAsia="宋体" w:hAnsi="宋体" w:hint="eastAsia"/>
          <w:sz w:val="24"/>
          <w:szCs w:val="24"/>
        </w:rPr>
        <w:t>从事危险化学品生产、储存、使用和经营的单位（以下统称危险化学品单位）的危险化学品重大危险源的辨识、评估、登记建档、备案、核销及其监督管理，适用本规定。</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城镇燃气、用于国防科研生产的危险化学品重大危险源以及港区</w:t>
      </w:r>
      <w:proofErr w:type="gramStart"/>
      <w:r w:rsidRPr="0065140D">
        <w:rPr>
          <w:rFonts w:ascii="宋体" w:eastAsia="宋体" w:hAnsi="宋体" w:hint="eastAsia"/>
          <w:sz w:val="24"/>
          <w:szCs w:val="24"/>
        </w:rPr>
        <w:t>内危险</w:t>
      </w:r>
      <w:proofErr w:type="gramEnd"/>
      <w:r w:rsidRPr="0065140D">
        <w:rPr>
          <w:rFonts w:ascii="宋体" w:eastAsia="宋体" w:hAnsi="宋体" w:hint="eastAsia"/>
          <w:sz w:val="24"/>
          <w:szCs w:val="24"/>
        </w:rPr>
        <w:t>化学品重大危险源的安全监督管理，不适用本规定。</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第三条</w:t>
      </w:r>
      <w:r w:rsidR="0065140D">
        <w:rPr>
          <w:rFonts w:ascii="宋体" w:eastAsia="宋体" w:hAnsi="宋体" w:hint="eastAsia"/>
          <w:b/>
          <w:sz w:val="24"/>
          <w:szCs w:val="24"/>
        </w:rPr>
        <w:t xml:space="preserve"> </w:t>
      </w:r>
      <w:r w:rsidRPr="0065140D">
        <w:rPr>
          <w:rFonts w:ascii="宋体" w:eastAsia="宋体" w:hAnsi="宋体" w:hint="eastAsia"/>
          <w:sz w:val="24"/>
          <w:szCs w:val="24"/>
        </w:rPr>
        <w:t>本规定所称危险化学品重大危险源（以下简称重大危险源），是指按照《危险化学品重大危险源辨识》（GB18218）标准辨识确定，生产、储存、使用或者搬运危险化学品的数量等于或者超过临界量的单元（包括场所和设施）。</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第四条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危险化学品单位是本单位重大危险源安全管理的责任主体，其主要负责人对本单位的重大危险源安全管理工作负责，并保证重大危险源安全生产所</w:t>
      </w:r>
      <w:r w:rsidRPr="0065140D">
        <w:rPr>
          <w:rFonts w:ascii="宋体" w:eastAsia="宋体" w:hAnsi="宋体" w:hint="eastAsia"/>
          <w:sz w:val="24"/>
          <w:szCs w:val="24"/>
        </w:rPr>
        <w:lastRenderedPageBreak/>
        <w:t>必需的安全投入。</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第五条</w:t>
      </w:r>
      <w:r w:rsidR="0065140D">
        <w:rPr>
          <w:rFonts w:ascii="宋体" w:eastAsia="宋体" w:hAnsi="宋体" w:hint="eastAsia"/>
          <w:b/>
          <w:sz w:val="24"/>
          <w:szCs w:val="24"/>
        </w:rPr>
        <w:t xml:space="preserve"> </w:t>
      </w:r>
      <w:r w:rsidRPr="0065140D">
        <w:rPr>
          <w:rFonts w:ascii="宋体" w:eastAsia="宋体" w:hAnsi="宋体" w:hint="eastAsia"/>
          <w:sz w:val="24"/>
          <w:szCs w:val="24"/>
        </w:rPr>
        <w:t>重大危险源的安全监督管理实行属地监管与分级管理相结合的原则。</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县级以上地方人民政府安全生产监督管理部门按照有关法律、法规、标准和本规定，对本辖区内的重大危险源实施安全监督管理。</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第六条</w:t>
      </w:r>
      <w:r w:rsidR="0065140D">
        <w:rPr>
          <w:rFonts w:ascii="宋体" w:eastAsia="宋体" w:hAnsi="宋体" w:hint="eastAsia"/>
          <w:b/>
          <w:sz w:val="24"/>
          <w:szCs w:val="24"/>
        </w:rPr>
        <w:t xml:space="preserve"> </w:t>
      </w:r>
      <w:r w:rsidRPr="0065140D">
        <w:rPr>
          <w:rFonts w:ascii="宋体" w:eastAsia="宋体" w:hAnsi="宋体" w:hint="eastAsia"/>
          <w:sz w:val="24"/>
          <w:szCs w:val="24"/>
        </w:rPr>
        <w:t>国家鼓励危险化学品单位采用有利于提高重大危险源安全保障水平的先进适用的工艺、技术、设备以及自动控制系统，推进安全生产监督管理部门重大危险源安全监管的信息化建设。</w:t>
      </w:r>
    </w:p>
    <w:p w:rsidR="0065140D" w:rsidRDefault="0065140D" w:rsidP="0065140D">
      <w:pPr>
        <w:snapToGrid w:val="0"/>
        <w:spacing w:line="360" w:lineRule="auto"/>
        <w:jc w:val="center"/>
        <w:rPr>
          <w:rFonts w:ascii="宋体" w:eastAsia="宋体" w:hAnsi="宋体" w:hint="eastAsia"/>
          <w:b/>
          <w:sz w:val="24"/>
          <w:szCs w:val="24"/>
        </w:rPr>
      </w:pPr>
    </w:p>
    <w:p w:rsidR="00036232" w:rsidRPr="0065140D" w:rsidRDefault="00036232" w:rsidP="0065140D">
      <w:pPr>
        <w:snapToGrid w:val="0"/>
        <w:spacing w:line="360" w:lineRule="auto"/>
        <w:jc w:val="center"/>
        <w:rPr>
          <w:rFonts w:ascii="宋体" w:eastAsia="宋体" w:hAnsi="宋体"/>
          <w:sz w:val="28"/>
          <w:szCs w:val="24"/>
        </w:rPr>
      </w:pPr>
      <w:r w:rsidRPr="0065140D">
        <w:rPr>
          <w:rFonts w:ascii="宋体" w:eastAsia="宋体" w:hAnsi="宋体" w:hint="eastAsia"/>
          <w:b/>
          <w:sz w:val="28"/>
          <w:szCs w:val="24"/>
        </w:rPr>
        <w:t>第二章辨识与评估</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第七条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危险化学品单位应当按照《危险化学品重大危险源辨识》标准，对本单位的危险化学品生产、经营、储存和使用装置、设施或者场所进行重大危险源辨识，并记录辨识过程与结果。</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第八条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依照法律、行政法规的规定，危险化学品单位需要进行安全评价的，重大危险源安全评估可以与本单位的安全评价一起进行，以安全评价报告代替安全评估报告，也可以单独进行重大危险源安全评估。</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重大危险源根据其危险程度，分为一级、二级、三级和四级，一级为最高级别。重大危险源分级方法由本规定附件1列示。</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第九条</w:t>
      </w:r>
      <w:r w:rsidR="0065140D">
        <w:rPr>
          <w:rFonts w:ascii="宋体" w:eastAsia="宋体" w:hAnsi="宋体" w:hint="eastAsia"/>
          <w:b/>
          <w:sz w:val="24"/>
          <w:szCs w:val="24"/>
        </w:rPr>
        <w:t xml:space="preserve"> </w:t>
      </w:r>
      <w:r w:rsidRPr="0065140D">
        <w:rPr>
          <w:rFonts w:ascii="宋体" w:eastAsia="宋体" w:hAnsi="宋体" w:hint="eastAsia"/>
          <w:sz w:val="24"/>
          <w:szCs w:val="24"/>
        </w:rPr>
        <w:t>重大危险源有下列情形之一的，应当委托具有相应资质的安全评价机构，按照有关标准的规定采用定量风险评价方法进行安全评估，确定个人和社</w:t>
      </w:r>
      <w:proofErr w:type="gramStart"/>
      <w:r w:rsidRPr="0065140D">
        <w:rPr>
          <w:rFonts w:ascii="宋体" w:eastAsia="宋体" w:hAnsi="宋体" w:hint="eastAsia"/>
          <w:sz w:val="24"/>
          <w:szCs w:val="24"/>
        </w:rPr>
        <w:t>会风险</w:t>
      </w:r>
      <w:proofErr w:type="gramEnd"/>
      <w:r w:rsidRPr="0065140D">
        <w:rPr>
          <w:rFonts w:ascii="宋体" w:eastAsia="宋体" w:hAnsi="宋体" w:hint="eastAsia"/>
          <w:sz w:val="24"/>
          <w:szCs w:val="24"/>
        </w:rPr>
        <w:t>值：</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（一）构成一级或者二级重大危险源，且毒性气体实际存在（在线）量与其在《危险化学品重大危险源辨识》中规定的临界量比值之和大于或等于1的；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（二）构成一级重大危险源，且爆炸品或液化易燃气体实际存在（在线）量与其在《危险化学品重大危险源辨识》中规定的临界量比值之和大于或等于1的。</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第十条</w:t>
      </w:r>
      <w:r w:rsidR="0065140D">
        <w:rPr>
          <w:rFonts w:ascii="宋体" w:eastAsia="宋体" w:hAnsi="宋体" w:hint="eastAsia"/>
          <w:b/>
          <w:sz w:val="24"/>
          <w:szCs w:val="24"/>
        </w:rPr>
        <w:t xml:space="preserve"> </w:t>
      </w:r>
      <w:r w:rsidRPr="0065140D">
        <w:rPr>
          <w:rFonts w:ascii="宋体" w:eastAsia="宋体" w:hAnsi="宋体" w:hint="eastAsia"/>
          <w:sz w:val="24"/>
          <w:szCs w:val="24"/>
        </w:rPr>
        <w:t>重大危险源安全评估报告应当客观公正、数据准确、内容完整、结</w:t>
      </w:r>
      <w:r w:rsidRPr="0065140D">
        <w:rPr>
          <w:rFonts w:ascii="宋体" w:eastAsia="宋体" w:hAnsi="宋体" w:hint="eastAsia"/>
          <w:sz w:val="24"/>
          <w:szCs w:val="24"/>
        </w:rPr>
        <w:lastRenderedPageBreak/>
        <w:t>论明确、措施可行，并包括下列内容：</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（一）评估的主要依据；</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（二）重大危险源的基本情况；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（三）事故发生的可能性及危害程度；</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（四）个人风险和社会风险值（仅适用定量风险评价方法）；</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（五）可能受事故影响的周边场所、人员情况；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（六）重大危险源辨识、分级的符合性分析；</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（七）安全管理措施、安全技术和监控措施；</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（八）事故应急措施；</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（九）评估结论与建议。</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危险化学品单位以安全评价报告代替安全评估报告的，其安全评价报告中有关重大危险源的内容应当符合本条第一款规定的要求。</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第十一条</w:t>
      </w:r>
      <w:r w:rsidR="0065140D">
        <w:rPr>
          <w:rFonts w:ascii="宋体" w:eastAsia="宋体" w:hAnsi="宋体" w:hint="eastAsia"/>
          <w:b/>
          <w:sz w:val="24"/>
          <w:szCs w:val="24"/>
        </w:rPr>
        <w:t xml:space="preserve"> </w:t>
      </w:r>
      <w:r w:rsidRPr="0065140D">
        <w:rPr>
          <w:rFonts w:ascii="宋体" w:eastAsia="宋体" w:hAnsi="宋体" w:hint="eastAsia"/>
          <w:sz w:val="24"/>
          <w:szCs w:val="24"/>
        </w:rPr>
        <w:t>有下列情形之一的，危险化学品单位应当对重大危险</w:t>
      </w:r>
      <w:proofErr w:type="gramStart"/>
      <w:r w:rsidRPr="0065140D">
        <w:rPr>
          <w:rFonts w:ascii="宋体" w:eastAsia="宋体" w:hAnsi="宋体" w:hint="eastAsia"/>
          <w:sz w:val="24"/>
          <w:szCs w:val="24"/>
        </w:rPr>
        <w:t>源重新</w:t>
      </w:r>
      <w:proofErr w:type="gramEnd"/>
      <w:r w:rsidRPr="0065140D">
        <w:rPr>
          <w:rFonts w:ascii="宋体" w:eastAsia="宋体" w:hAnsi="宋体" w:hint="eastAsia"/>
          <w:sz w:val="24"/>
          <w:szCs w:val="24"/>
        </w:rPr>
        <w:t>进行辨识、安全评估及分级：</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（一）重大危险源安全评估已满三年的；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（二）构成重大危险源的装置、设施或者场所进行新建、改建、扩建的；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（三）危险化学品种类、数量、生产、使用工艺或者储存方式及重要设备、设施等发生变化，影响重大危险源级别或者风险程度的；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（四）外界生产安全环境因素发生变化，影响重大危险源级别和风险程度的；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（五）发生危险化学品事故造成人员死亡，或者10人以上受伤，或者影响到公共安全的；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（六）有关重大危险源辨识和安全评估的国家标准、行业标准发生变化的。</w:t>
      </w:r>
    </w:p>
    <w:p w:rsidR="0065140D" w:rsidRDefault="0065140D" w:rsidP="0065140D">
      <w:pPr>
        <w:snapToGrid w:val="0"/>
        <w:spacing w:line="360" w:lineRule="auto"/>
        <w:jc w:val="center"/>
        <w:rPr>
          <w:rFonts w:ascii="宋体" w:eastAsia="宋体" w:hAnsi="宋体" w:hint="eastAsia"/>
          <w:b/>
          <w:sz w:val="24"/>
          <w:szCs w:val="24"/>
        </w:rPr>
      </w:pPr>
    </w:p>
    <w:p w:rsidR="00036232" w:rsidRPr="0065140D" w:rsidRDefault="00036232" w:rsidP="0065140D">
      <w:pPr>
        <w:snapToGrid w:val="0"/>
        <w:spacing w:line="360" w:lineRule="auto"/>
        <w:jc w:val="center"/>
        <w:rPr>
          <w:rFonts w:ascii="宋体" w:eastAsia="宋体" w:hAnsi="宋体"/>
          <w:sz w:val="28"/>
          <w:szCs w:val="24"/>
        </w:rPr>
      </w:pPr>
      <w:r w:rsidRPr="0065140D">
        <w:rPr>
          <w:rFonts w:ascii="宋体" w:eastAsia="宋体" w:hAnsi="宋体" w:hint="eastAsia"/>
          <w:b/>
          <w:sz w:val="28"/>
          <w:szCs w:val="24"/>
        </w:rPr>
        <w:t>第三章安全管理</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第十二条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危险化学品单位应当建立完善重大危险源安全管理规章制度和安全操作规程，并采取有效措施保证其得到执行。</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第十三条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危险化学品单位应当根据构成重大危险源的危险化学品种类、数量、生产、使用工艺（方式）或者相关设备、设施等实际情况，按照下列要求建立健全安全监测监控体系，</w:t>
      </w:r>
      <w:proofErr w:type="gramStart"/>
      <w:r w:rsidRPr="0065140D">
        <w:rPr>
          <w:rFonts w:ascii="宋体" w:eastAsia="宋体" w:hAnsi="宋体" w:hint="eastAsia"/>
          <w:sz w:val="24"/>
          <w:szCs w:val="24"/>
        </w:rPr>
        <w:t>完善控制</w:t>
      </w:r>
      <w:proofErr w:type="gramEnd"/>
      <w:r w:rsidRPr="0065140D">
        <w:rPr>
          <w:rFonts w:ascii="宋体" w:eastAsia="宋体" w:hAnsi="宋体" w:hint="eastAsia"/>
          <w:sz w:val="24"/>
          <w:szCs w:val="24"/>
        </w:rPr>
        <w:t>措施：</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lastRenderedPageBreak/>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（二）重大危险源的化工生产装置装备满足安全生产要求的自动化控制系统；一级或者二级重大危险源，装备紧急停车系统；</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（四）重大危险源中储存剧毒物质的场所或者设施，设置视频监控系统；</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（五）安全监测监控系统符合国家标准或者行业标准的规定。</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第十四条</w:t>
      </w:r>
      <w:r w:rsidR="0065140D">
        <w:rPr>
          <w:rFonts w:ascii="宋体" w:eastAsia="宋体" w:hAnsi="宋体" w:hint="eastAsia"/>
          <w:b/>
          <w:sz w:val="24"/>
          <w:szCs w:val="24"/>
        </w:rPr>
        <w:t xml:space="preserve"> </w:t>
      </w:r>
      <w:r w:rsidRPr="0065140D">
        <w:rPr>
          <w:rFonts w:ascii="宋体" w:eastAsia="宋体" w:hAnsi="宋体" w:hint="eastAsia"/>
          <w:sz w:val="24"/>
          <w:szCs w:val="24"/>
        </w:rPr>
        <w:t>通过定量风险评价确定的重大危险源的个人和社会风险值，不得超过本规定附件2列示的个人和社会可容许风险限值标准。</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超过个人和社会可容许风险限值标准的，危险化学品单位应当采取相应的降低风险措施。</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第十五条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第十六条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第十七条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危险化学品单位应当对重大危险源的管理和操作岗位人员进行安全操作技能培训，使其了解重大危险源的危险特性，熟悉重大危险源安全管理规章制度和安全操作规程，掌握本岗位的安全操作技能和应急措施。</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第十八条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危险化学品单位应当在重大危险源所在场所设置明显的安全警示标志，写明紧急情况下的应急处置办法。</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第十九条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危险化学品单位应当将重大危险源可能发生的事故后果和应急措施等信息，以适当方式告知可能受影响的单位、区域及人员。</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lastRenderedPageBreak/>
        <w:t>第二十条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w:t>
      </w:r>
      <w:proofErr w:type="gramStart"/>
      <w:r w:rsidRPr="0065140D">
        <w:rPr>
          <w:rFonts w:ascii="宋体" w:eastAsia="宋体" w:hAnsi="宋体" w:hint="eastAsia"/>
          <w:sz w:val="24"/>
          <w:szCs w:val="24"/>
        </w:rPr>
        <w:t>蒸气</w:t>
      </w:r>
      <w:proofErr w:type="gramEnd"/>
      <w:r w:rsidRPr="0065140D">
        <w:rPr>
          <w:rFonts w:ascii="宋体" w:eastAsia="宋体" w:hAnsi="宋体" w:hint="eastAsia"/>
          <w:sz w:val="24"/>
          <w:szCs w:val="24"/>
        </w:rPr>
        <w:t>的重大危险源，还应当配备一定数量的便携式可燃气体检测设备。</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第二十一条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危险化学品单位应当制定重大危险源事故应急预案演练计划，并按照下列要求进行事故应急预案演练：</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（一）对重大危险源专项应急预案，每年至少进行一次；</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（二）对重大危险</w:t>
      </w:r>
      <w:proofErr w:type="gramStart"/>
      <w:r w:rsidRPr="0065140D">
        <w:rPr>
          <w:rFonts w:ascii="宋体" w:eastAsia="宋体" w:hAnsi="宋体" w:hint="eastAsia"/>
          <w:sz w:val="24"/>
          <w:szCs w:val="24"/>
        </w:rPr>
        <w:t>源现场</w:t>
      </w:r>
      <w:proofErr w:type="gramEnd"/>
      <w:r w:rsidRPr="0065140D">
        <w:rPr>
          <w:rFonts w:ascii="宋体" w:eastAsia="宋体" w:hAnsi="宋体" w:hint="eastAsia"/>
          <w:sz w:val="24"/>
          <w:szCs w:val="24"/>
        </w:rPr>
        <w:t>处置方案，每半年至少进行一次。</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应急预案演练结束后，危险化学品单位应当对应急预案演练效果进行评估，撰写应急预案演练评估报告，分析存在的问题，对应急预案提出修订意见，并及时修订完善。</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第二十二条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危险化学品单位应当对辨识确认的重大危险源及时、逐项进行登记建档。</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重大危险源档案应当包括下列文件、资料：</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（一）辨识、分级记录；</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（二）重大危险</w:t>
      </w:r>
      <w:proofErr w:type="gramStart"/>
      <w:r w:rsidRPr="0065140D">
        <w:rPr>
          <w:rFonts w:ascii="宋体" w:eastAsia="宋体" w:hAnsi="宋体" w:hint="eastAsia"/>
          <w:sz w:val="24"/>
          <w:szCs w:val="24"/>
        </w:rPr>
        <w:t>源基本</w:t>
      </w:r>
      <w:proofErr w:type="gramEnd"/>
      <w:r w:rsidRPr="0065140D">
        <w:rPr>
          <w:rFonts w:ascii="宋体" w:eastAsia="宋体" w:hAnsi="宋体" w:hint="eastAsia"/>
          <w:sz w:val="24"/>
          <w:szCs w:val="24"/>
        </w:rPr>
        <w:t>特征表；</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（三）涉及的所有化学品安全技术说明书；</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（四）区域位置图、平面布置图、工艺流程图和主要设备一览表；</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（五）重大危险源安全管理规章制度及安全操作规程；</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（六）安全监测监控系统、措施说明、检测、检验结果；</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（七）重大危险源事故应急预案、评审意见、演练计划和评估报告；</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（八）安全评估报告或者安全评价报告；</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（九）重大危险</w:t>
      </w:r>
      <w:proofErr w:type="gramStart"/>
      <w:r w:rsidRPr="0065140D">
        <w:rPr>
          <w:rFonts w:ascii="宋体" w:eastAsia="宋体" w:hAnsi="宋体" w:hint="eastAsia"/>
          <w:sz w:val="24"/>
          <w:szCs w:val="24"/>
        </w:rPr>
        <w:t>源关键</w:t>
      </w:r>
      <w:proofErr w:type="gramEnd"/>
      <w:r w:rsidRPr="0065140D">
        <w:rPr>
          <w:rFonts w:ascii="宋体" w:eastAsia="宋体" w:hAnsi="宋体" w:hint="eastAsia"/>
          <w:sz w:val="24"/>
          <w:szCs w:val="24"/>
        </w:rPr>
        <w:t>装置、重点部位的责任人、责任机构名称；</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（十）重大危险源场所安全警示标志的设置情况；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（十一）其他文件、资料。</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lastRenderedPageBreak/>
        <w:t>第二十三条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重大危险</w:t>
      </w:r>
      <w:proofErr w:type="gramStart"/>
      <w:r w:rsidRPr="0065140D">
        <w:rPr>
          <w:rFonts w:ascii="宋体" w:eastAsia="宋体" w:hAnsi="宋体" w:hint="eastAsia"/>
          <w:sz w:val="24"/>
          <w:szCs w:val="24"/>
        </w:rPr>
        <w:t>源出现</w:t>
      </w:r>
      <w:proofErr w:type="gramEnd"/>
      <w:r w:rsidRPr="0065140D">
        <w:rPr>
          <w:rFonts w:ascii="宋体" w:eastAsia="宋体" w:hAnsi="宋体" w:hint="eastAsia"/>
          <w:sz w:val="24"/>
          <w:szCs w:val="24"/>
        </w:rPr>
        <w:t>本规定第十一条所列情形之一的，危险化学品单位应当及时更新档案，并向所在地县级人民政府安全生产监督管理部门重新备案。</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第二十四条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危险化学品单位新建、改建和扩建危险化学品建设项目，应当在建设项目竣工验收前完成重大危险源的辨识、安全评估和分级、登记建档工作，并向所在地县级人民政府安全生产监督管理部门备案。</w:t>
      </w:r>
    </w:p>
    <w:p w:rsidR="0065140D" w:rsidRDefault="0065140D" w:rsidP="0065140D">
      <w:pPr>
        <w:snapToGrid w:val="0"/>
        <w:spacing w:line="360" w:lineRule="auto"/>
        <w:jc w:val="center"/>
        <w:rPr>
          <w:rFonts w:ascii="宋体" w:eastAsia="宋体" w:hAnsi="宋体" w:hint="eastAsia"/>
          <w:b/>
          <w:sz w:val="24"/>
          <w:szCs w:val="24"/>
        </w:rPr>
      </w:pPr>
    </w:p>
    <w:p w:rsidR="00036232" w:rsidRPr="0065140D" w:rsidRDefault="00036232" w:rsidP="0065140D">
      <w:pPr>
        <w:snapToGrid w:val="0"/>
        <w:spacing w:line="360" w:lineRule="auto"/>
        <w:jc w:val="center"/>
        <w:rPr>
          <w:rFonts w:ascii="宋体" w:eastAsia="宋体" w:hAnsi="宋体"/>
          <w:sz w:val="28"/>
          <w:szCs w:val="24"/>
        </w:rPr>
      </w:pPr>
      <w:r w:rsidRPr="0065140D">
        <w:rPr>
          <w:rFonts w:ascii="宋体" w:eastAsia="宋体" w:hAnsi="宋体" w:hint="eastAsia"/>
          <w:b/>
          <w:sz w:val="28"/>
          <w:szCs w:val="24"/>
        </w:rPr>
        <w:t>第四章监督检查</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第二十五条</w:t>
      </w:r>
      <w:r w:rsidR="0065140D">
        <w:rPr>
          <w:rFonts w:ascii="宋体" w:eastAsia="宋体" w:hAnsi="宋体" w:hint="eastAsia"/>
          <w:b/>
          <w:sz w:val="24"/>
          <w:szCs w:val="24"/>
        </w:rPr>
        <w:t xml:space="preserve"> </w:t>
      </w:r>
      <w:r w:rsidRPr="0065140D">
        <w:rPr>
          <w:rFonts w:ascii="宋体" w:eastAsia="宋体" w:hAnsi="宋体" w:hint="eastAsia"/>
          <w:sz w:val="24"/>
          <w:szCs w:val="24"/>
        </w:rPr>
        <w:t>县级人民政府安全生产监督管理部门应当建立健全危险化学品重大危险源管理制度，明确责任人员，加强资料归档。</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第二十六条</w:t>
      </w:r>
      <w:r w:rsidR="0065140D">
        <w:rPr>
          <w:rFonts w:ascii="宋体" w:eastAsia="宋体" w:hAnsi="宋体" w:hint="eastAsia"/>
          <w:b/>
          <w:sz w:val="24"/>
          <w:szCs w:val="24"/>
        </w:rPr>
        <w:t xml:space="preserve"> </w:t>
      </w:r>
      <w:r w:rsidRPr="0065140D">
        <w:rPr>
          <w:rFonts w:ascii="宋体" w:eastAsia="宋体" w:hAnsi="宋体" w:hint="eastAsia"/>
          <w:sz w:val="24"/>
          <w:szCs w:val="24"/>
        </w:rPr>
        <w:t>县级人民政府安全生产监督管理部门应当在每年1月15日前，将辖区内上一年度重大危险源的汇总信息报送至设区的市级人民政府安全生产监督管理部门。设区的市级人民政府安全生产监督管理部门应当在每年1月31日前，将辖区内上一年度重大危险源的汇总信息报送至省级人民政府安全生产监督管理部门。省级人民政府安全生产监督管理部门应当在每年2月15日前，将辖区内上一年度重大危险源的汇总信息报送至国家安全生产监督管理总局。</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第二十七条</w:t>
      </w:r>
      <w:r w:rsidR="0065140D">
        <w:rPr>
          <w:rFonts w:ascii="宋体" w:eastAsia="宋体" w:hAnsi="宋体" w:hint="eastAsia"/>
          <w:b/>
          <w:sz w:val="24"/>
          <w:szCs w:val="24"/>
        </w:rPr>
        <w:t xml:space="preserve"> </w:t>
      </w:r>
      <w:r w:rsidRPr="0065140D">
        <w:rPr>
          <w:rFonts w:ascii="宋体" w:eastAsia="宋体" w:hAnsi="宋体" w:hint="eastAsia"/>
          <w:sz w:val="24"/>
          <w:szCs w:val="24"/>
        </w:rPr>
        <w:t>重大危险源经过安全评价或者安全评估不再构成重大危险源的，危险化学品单位应当向所在地县级人民政府安全生产监督管理部门申请核销。</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申请核销重大危险</w:t>
      </w:r>
      <w:proofErr w:type="gramStart"/>
      <w:r w:rsidRPr="0065140D">
        <w:rPr>
          <w:rFonts w:ascii="宋体" w:eastAsia="宋体" w:hAnsi="宋体" w:hint="eastAsia"/>
          <w:sz w:val="24"/>
          <w:szCs w:val="24"/>
        </w:rPr>
        <w:t>源应当</w:t>
      </w:r>
      <w:proofErr w:type="gramEnd"/>
      <w:r w:rsidRPr="0065140D">
        <w:rPr>
          <w:rFonts w:ascii="宋体" w:eastAsia="宋体" w:hAnsi="宋体" w:hint="eastAsia"/>
          <w:sz w:val="24"/>
          <w:szCs w:val="24"/>
        </w:rPr>
        <w:t>提交下列文件、资料：</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（一）载明核销理由的申请书；</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（二）单位名称、法定代表人、住所、联系人、联系方式；</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（三）安全评价报告或者安全评估报告。</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lastRenderedPageBreak/>
        <w:t>第二十八条</w:t>
      </w:r>
      <w:r w:rsidR="0065140D">
        <w:rPr>
          <w:rFonts w:ascii="宋体" w:eastAsia="宋体" w:hAnsi="宋体" w:hint="eastAsia"/>
          <w:b/>
          <w:sz w:val="24"/>
          <w:szCs w:val="24"/>
        </w:rPr>
        <w:t xml:space="preserve"> </w:t>
      </w:r>
      <w:r w:rsidRPr="0065140D">
        <w:rPr>
          <w:rFonts w:ascii="宋体" w:eastAsia="宋体" w:hAnsi="宋体" w:hint="eastAsia"/>
          <w:sz w:val="24"/>
          <w:szCs w:val="24"/>
        </w:rPr>
        <w:t>县级人民政府安全生产监督管理部门应当自收到申请核销的文件、资料之日起30日内进行审查，符合条件的，予以核销并出具证明文书；不符合条件的，说明理由并书面告知申请单位。必要时，县级人民政府安全生产监督管理部门应当聘请有关专家进行现场核查。</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第二十九条</w:t>
      </w:r>
      <w:r w:rsidR="0065140D">
        <w:rPr>
          <w:rFonts w:ascii="宋体" w:eastAsia="宋体" w:hAnsi="宋体" w:hint="eastAsia"/>
          <w:b/>
          <w:sz w:val="24"/>
          <w:szCs w:val="24"/>
        </w:rPr>
        <w:t xml:space="preserve"> </w:t>
      </w:r>
      <w:r w:rsidRPr="0065140D">
        <w:rPr>
          <w:rFonts w:ascii="宋体" w:eastAsia="宋体" w:hAnsi="宋体" w:hint="eastAsia"/>
          <w:sz w:val="24"/>
          <w:szCs w:val="24"/>
        </w:rPr>
        <w:t>县级人民政府安全生产监督管理部门应当每季度将辖区内一级、二级重大危险源的核销材料报送至设区的市级人民政府安全生产监督管理部门。设区的市级人民政府安全生产监督管理部门应当每半年将辖区内一级重大危险源的核销材料报送至省级人民政府安全生产监督管理部门。</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第三十条</w:t>
      </w:r>
      <w:r w:rsidR="0065140D">
        <w:rPr>
          <w:rFonts w:ascii="宋体" w:eastAsia="宋体" w:hAnsi="宋体" w:hint="eastAsia"/>
          <w:b/>
          <w:sz w:val="24"/>
          <w:szCs w:val="24"/>
        </w:rPr>
        <w:t xml:space="preserve"> </w:t>
      </w:r>
      <w:r w:rsidRPr="0065140D">
        <w:rPr>
          <w:rFonts w:ascii="宋体" w:eastAsia="宋体" w:hAnsi="宋体" w:hint="eastAsia"/>
          <w:sz w:val="24"/>
          <w:szCs w:val="24"/>
        </w:rPr>
        <w:t>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首次对重大危险源的监督检查应当包括下列主要内容：</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（一）重大危险源的运行情况、安全管理规章制度及安全操作规程制定和落实情况；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（二）重大危险源的辨识、分级、安全评估、登记建档、备案情况；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（三）重大危险源的监测监控情况；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（四）重大危险源安全设施和安全监测监控系统的检测、检验以及维护保养情况；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（五）重大危险源事故应急预案的编制、评审、备案、修订和演练情况；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（六）有关从业人员的安全培训教育情况；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（七）安全标志设置情况；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（八）应急救援器材、设备、物资配备情况；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（九）预防和控制事故措施的落实情况。</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第三十一条</w:t>
      </w:r>
      <w:r w:rsidR="0065140D">
        <w:rPr>
          <w:rFonts w:ascii="宋体" w:eastAsia="宋体" w:hAnsi="宋体" w:hint="eastAsia"/>
          <w:b/>
          <w:sz w:val="24"/>
          <w:szCs w:val="24"/>
        </w:rPr>
        <w:t xml:space="preserve"> </w:t>
      </w:r>
      <w:r w:rsidRPr="0065140D">
        <w:rPr>
          <w:rFonts w:ascii="宋体" w:eastAsia="宋体" w:hAnsi="宋体" w:hint="eastAsia"/>
          <w:sz w:val="24"/>
          <w:szCs w:val="24"/>
        </w:rPr>
        <w:t>县级以上地方各级人民政府安全生产监督管理部门应当会同本级人民政府有关部门，加强对工业（化工）园区等重大危险</w:t>
      </w:r>
      <w:proofErr w:type="gramStart"/>
      <w:r w:rsidRPr="0065140D">
        <w:rPr>
          <w:rFonts w:ascii="宋体" w:eastAsia="宋体" w:hAnsi="宋体" w:hint="eastAsia"/>
          <w:sz w:val="24"/>
          <w:szCs w:val="24"/>
        </w:rPr>
        <w:t>源集中</w:t>
      </w:r>
      <w:proofErr w:type="gramEnd"/>
      <w:r w:rsidRPr="0065140D">
        <w:rPr>
          <w:rFonts w:ascii="宋体" w:eastAsia="宋体" w:hAnsi="宋体" w:hint="eastAsia"/>
          <w:sz w:val="24"/>
          <w:szCs w:val="24"/>
        </w:rPr>
        <w:t>区域的监督检</w:t>
      </w:r>
      <w:r w:rsidRPr="0065140D">
        <w:rPr>
          <w:rFonts w:ascii="宋体" w:eastAsia="宋体" w:hAnsi="宋体" w:hint="eastAsia"/>
          <w:sz w:val="24"/>
          <w:szCs w:val="24"/>
        </w:rPr>
        <w:lastRenderedPageBreak/>
        <w:t>查，确保重大危险源与周边单位、居民区、人员密集场所等重要目标和敏感场所之间保持适当的安全距离。</w:t>
      </w:r>
    </w:p>
    <w:p w:rsidR="0065140D" w:rsidRDefault="0065140D" w:rsidP="0065140D">
      <w:pPr>
        <w:snapToGrid w:val="0"/>
        <w:spacing w:line="360" w:lineRule="auto"/>
        <w:jc w:val="center"/>
        <w:rPr>
          <w:rFonts w:ascii="宋体" w:eastAsia="宋体" w:hAnsi="宋体" w:hint="eastAsia"/>
          <w:b/>
          <w:sz w:val="24"/>
          <w:szCs w:val="24"/>
        </w:rPr>
      </w:pPr>
    </w:p>
    <w:p w:rsidR="00036232" w:rsidRPr="0065140D" w:rsidRDefault="00036232" w:rsidP="0065140D">
      <w:pPr>
        <w:snapToGrid w:val="0"/>
        <w:spacing w:line="360" w:lineRule="auto"/>
        <w:jc w:val="center"/>
        <w:rPr>
          <w:rFonts w:ascii="宋体" w:eastAsia="宋体" w:hAnsi="宋体"/>
          <w:sz w:val="28"/>
          <w:szCs w:val="24"/>
        </w:rPr>
      </w:pPr>
      <w:r w:rsidRPr="0065140D">
        <w:rPr>
          <w:rFonts w:ascii="宋体" w:eastAsia="宋体" w:hAnsi="宋体" w:hint="eastAsia"/>
          <w:b/>
          <w:sz w:val="28"/>
          <w:szCs w:val="24"/>
        </w:rPr>
        <w:t>第五章法律责任</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第三十二条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（一）未按照本规定要求对重大危险源进行安全评估或者安全评价的；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（二）未按照本规定要求对重大危险源进行登记建档的；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（三）未按照本规定及相关标准要求对重大危险源进行安全监测监控的；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（四）未制定重大危险源事故应急预案的。</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第三十三条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有下列行为之一的，由县级以上人民政府安全生产监督管理部门责令限期改正，可以处５万元以下的罚款；逾期未改正的，处５万元以上２０万元以下的罚款，对其直接负责的主管人员和其他直接责任人员处１万元以上２万元以下的罚款；情节严重的，责令停产停业整顿；构成犯罪的，依照刑法有关规定追究刑事责任：</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（一）未在构成重大危险源的场所设置明显的安全警示标志的；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（二）未对重大危险源中的设备、设施等进行定期检测、检验的。</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第三十四条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危险化学品单位有下列情形之一的，由县级以上人民政府安全生产监督管理部门给予警告，可以并处5000元以上3万元以下的罚款：</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（一）未按照标准对重大危险源进行辨识的；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（二）未按照本规定明确重大危险源中关键装置、重点部位的责任人或者责任机构的；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（三）未按照本规定建立应急救援组织或者配备应急救援人员，以及配备必要的防护装备及器材、设备、物资，并保障其完好的；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（四）未按照本规定进行重大危险源备案或者核销的；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（五）未将重大危险源可能引发的事故后果、应急措施等信息告知可能受影</w:t>
      </w:r>
      <w:r w:rsidRPr="0065140D">
        <w:rPr>
          <w:rFonts w:ascii="宋体" w:eastAsia="宋体" w:hAnsi="宋体" w:hint="eastAsia"/>
          <w:sz w:val="24"/>
          <w:szCs w:val="24"/>
        </w:rPr>
        <w:lastRenderedPageBreak/>
        <w:t>响的单位、区域及人员的；</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（六）未按照本规定要求开展重大危险源事故应急预案演练的。</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第三十五条</w:t>
      </w:r>
      <w:r w:rsidR="0065140D">
        <w:rPr>
          <w:rFonts w:ascii="宋体" w:eastAsia="宋体" w:hAnsi="宋体" w:hint="eastAsia"/>
          <w:b/>
          <w:sz w:val="24"/>
          <w:szCs w:val="24"/>
        </w:rPr>
        <w:t xml:space="preserve"> </w:t>
      </w:r>
      <w:r w:rsidRPr="0065140D">
        <w:rPr>
          <w:rFonts w:ascii="宋体" w:eastAsia="宋体" w:hAnsi="宋体" w:hint="eastAsia"/>
          <w:sz w:val="24"/>
          <w:szCs w:val="24"/>
        </w:rPr>
        <w:t>危险化学品单位未按照本规定对重大危险源的安全生产状况进行定期检查，采取措施消除事故隐患的，责令立即消除或者限期消除；危险化学品单位拒不执行的，责令停产停业整顿，并处１０万元以上２０万元以下的罚款，对其直接负责的主管人员和其他直接责任人员处２万元以上５万元以下的罚款。</w:t>
      </w:r>
    </w:p>
    <w:p w:rsidR="00036232" w:rsidRPr="0065140D" w:rsidRDefault="00036232" w:rsidP="0065140D">
      <w:pPr>
        <w:snapToGrid w:val="0"/>
        <w:spacing w:line="360" w:lineRule="auto"/>
        <w:ind w:firstLineChars="200" w:firstLine="482"/>
        <w:rPr>
          <w:rFonts w:ascii="宋体" w:eastAsia="宋体" w:hAnsi="宋体"/>
          <w:sz w:val="24"/>
          <w:szCs w:val="24"/>
        </w:rPr>
      </w:pPr>
      <w:r w:rsidRPr="0065140D">
        <w:rPr>
          <w:rFonts w:ascii="宋体" w:eastAsia="宋体" w:hAnsi="宋体" w:hint="eastAsia"/>
          <w:b/>
          <w:sz w:val="24"/>
          <w:szCs w:val="24"/>
        </w:rPr>
        <w:t>第三十六条</w:t>
      </w:r>
      <w:r w:rsidR="0065140D">
        <w:rPr>
          <w:rFonts w:ascii="宋体" w:eastAsia="宋体" w:hAnsi="宋体" w:hint="eastAsia"/>
          <w:b/>
          <w:sz w:val="24"/>
          <w:szCs w:val="24"/>
        </w:rPr>
        <w:t xml:space="preserve"> </w:t>
      </w:r>
      <w:r w:rsidRPr="0065140D">
        <w:rPr>
          <w:rFonts w:ascii="宋体" w:eastAsia="宋体" w:hAnsi="宋体" w:hint="eastAsia"/>
          <w:sz w:val="24"/>
          <w:szCs w:val="24"/>
        </w:rPr>
        <w:t>承担检测、检验、安全评价工作的机构，出具虚假证明的，没收违法所得；违法所得在１０万元以上的，并处违法所得２倍以上５倍以下的罚款；没有违法所得或者违法所得不足１０万元的，单处或者并处１０万元以上２０万元以下的罚款；对其直接负责的主管人员和其他直接责任人员处２万元以上５万元以下的罚款；给他人造成损害的，与危险化学品单位承担连带赔偿责任；构成犯罪的，依照刑法有关规定追究刑事责任。</w:t>
      </w: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对有前款违法行为的机构，依法吊销其相应资质。</w:t>
      </w:r>
    </w:p>
    <w:p w:rsidR="0065140D" w:rsidRDefault="0065140D" w:rsidP="0065140D">
      <w:pPr>
        <w:snapToGrid w:val="0"/>
        <w:spacing w:line="360" w:lineRule="auto"/>
        <w:jc w:val="center"/>
        <w:rPr>
          <w:rFonts w:ascii="宋体" w:eastAsia="宋体" w:hAnsi="宋体" w:hint="eastAsia"/>
          <w:b/>
          <w:sz w:val="24"/>
          <w:szCs w:val="24"/>
        </w:rPr>
      </w:pPr>
    </w:p>
    <w:p w:rsidR="00036232" w:rsidRPr="0065140D" w:rsidRDefault="00036232" w:rsidP="0065140D">
      <w:pPr>
        <w:snapToGrid w:val="0"/>
        <w:spacing w:line="360" w:lineRule="auto"/>
        <w:jc w:val="center"/>
        <w:rPr>
          <w:rFonts w:ascii="宋体" w:eastAsia="宋体" w:hAnsi="宋体"/>
          <w:sz w:val="28"/>
          <w:szCs w:val="24"/>
        </w:rPr>
      </w:pPr>
      <w:r w:rsidRPr="0065140D">
        <w:rPr>
          <w:rFonts w:ascii="宋体" w:eastAsia="宋体" w:hAnsi="宋体" w:hint="eastAsia"/>
          <w:b/>
          <w:sz w:val="28"/>
          <w:szCs w:val="24"/>
        </w:rPr>
        <w:t>第六章附则</w:t>
      </w:r>
    </w:p>
    <w:p w:rsidR="00036232" w:rsidRDefault="00036232" w:rsidP="0065140D">
      <w:pPr>
        <w:snapToGrid w:val="0"/>
        <w:spacing w:line="360" w:lineRule="auto"/>
        <w:ind w:firstLineChars="200" w:firstLine="482"/>
        <w:rPr>
          <w:rFonts w:ascii="宋体" w:eastAsia="宋体" w:hAnsi="宋体" w:hint="eastAsia"/>
          <w:sz w:val="24"/>
          <w:szCs w:val="24"/>
        </w:rPr>
      </w:pPr>
      <w:r w:rsidRPr="0065140D">
        <w:rPr>
          <w:rFonts w:ascii="宋体" w:eastAsia="宋体" w:hAnsi="宋体" w:hint="eastAsia"/>
          <w:b/>
          <w:sz w:val="24"/>
          <w:szCs w:val="24"/>
        </w:rPr>
        <w:t>第三十七条</w:t>
      </w:r>
      <w:r w:rsidR="0065140D">
        <w:rPr>
          <w:rFonts w:ascii="宋体" w:eastAsia="宋体" w:hAnsi="宋体" w:hint="eastAsia"/>
          <w:b/>
          <w:sz w:val="24"/>
          <w:szCs w:val="24"/>
        </w:rPr>
        <w:t xml:space="preserve"> </w:t>
      </w:r>
      <w:r w:rsidRPr="0065140D">
        <w:rPr>
          <w:rFonts w:ascii="宋体" w:eastAsia="宋体" w:hAnsi="宋体" w:hint="eastAsia"/>
          <w:sz w:val="24"/>
          <w:szCs w:val="24"/>
        </w:rPr>
        <w:t>本规定自2011年12月1日起施行。</w:t>
      </w:r>
    </w:p>
    <w:p w:rsidR="0065140D" w:rsidRPr="0065140D" w:rsidRDefault="0065140D" w:rsidP="0065140D">
      <w:pPr>
        <w:snapToGrid w:val="0"/>
        <w:spacing w:line="360" w:lineRule="auto"/>
        <w:ind w:firstLineChars="200" w:firstLine="480"/>
        <w:rPr>
          <w:rFonts w:ascii="宋体" w:eastAsia="宋体" w:hAnsi="宋体"/>
          <w:sz w:val="24"/>
          <w:szCs w:val="24"/>
        </w:rPr>
      </w:pPr>
    </w:p>
    <w:p w:rsidR="00036232" w:rsidRPr="0065140D" w:rsidRDefault="00036232" w:rsidP="0065140D">
      <w:pPr>
        <w:snapToGrid w:val="0"/>
        <w:spacing w:line="360" w:lineRule="auto"/>
        <w:ind w:firstLineChars="200" w:firstLine="480"/>
        <w:rPr>
          <w:rFonts w:ascii="宋体" w:eastAsia="宋体" w:hAnsi="宋体"/>
          <w:sz w:val="24"/>
          <w:szCs w:val="24"/>
        </w:rPr>
      </w:pPr>
      <w:r w:rsidRPr="0065140D">
        <w:rPr>
          <w:rFonts w:ascii="宋体" w:eastAsia="宋体" w:hAnsi="宋体" w:hint="eastAsia"/>
          <w:sz w:val="24"/>
          <w:szCs w:val="24"/>
        </w:rPr>
        <w:t>附件：</w:t>
      </w:r>
      <w:hyperlink r:id="rId7" w:tgtFrame="_blank" w:history="1">
        <w:r w:rsidRPr="0065140D">
          <w:rPr>
            <w:rStyle w:val="a7"/>
            <w:rFonts w:ascii="宋体" w:eastAsia="宋体" w:hAnsi="宋体" w:hint="eastAsia"/>
            <w:sz w:val="24"/>
            <w:szCs w:val="24"/>
          </w:rPr>
          <w:t>1、危险化学品重大危险源分级方法</w:t>
        </w:r>
      </w:hyperlink>
    </w:p>
    <w:p w:rsidR="00036232" w:rsidRPr="0065140D" w:rsidRDefault="00036232" w:rsidP="0065140D">
      <w:pPr>
        <w:snapToGrid w:val="0"/>
        <w:spacing w:line="360" w:lineRule="auto"/>
        <w:ind w:firstLine="440"/>
        <w:rPr>
          <w:rFonts w:ascii="宋体" w:eastAsia="宋体" w:hAnsi="宋体"/>
          <w:sz w:val="24"/>
          <w:szCs w:val="24"/>
        </w:rPr>
      </w:pPr>
      <w:r w:rsidRPr="0065140D">
        <w:rPr>
          <w:rFonts w:ascii="宋体" w:eastAsia="宋体" w:hAnsi="宋体" w:hint="eastAsia"/>
          <w:sz w:val="24"/>
          <w:szCs w:val="24"/>
        </w:rPr>
        <w:t>   </w:t>
      </w:r>
      <w:hyperlink r:id="rId8" w:tgtFrame="_blank" w:history="1">
        <w:r w:rsidRPr="0065140D">
          <w:rPr>
            <w:rStyle w:val="a7"/>
            <w:rFonts w:ascii="宋体" w:eastAsia="宋体" w:hAnsi="宋体" w:hint="eastAsia"/>
            <w:sz w:val="24"/>
            <w:szCs w:val="24"/>
          </w:rPr>
          <w:t>2、可容许风险标准</w:t>
        </w:r>
      </w:hyperlink>
    </w:p>
    <w:p w:rsidR="00036232" w:rsidRPr="0065140D" w:rsidRDefault="00036232" w:rsidP="0065140D">
      <w:pPr>
        <w:snapToGrid w:val="0"/>
        <w:spacing w:line="360" w:lineRule="auto"/>
        <w:rPr>
          <w:rFonts w:ascii="宋体" w:eastAsia="宋体" w:hAnsi="宋体"/>
          <w:sz w:val="24"/>
          <w:szCs w:val="24"/>
        </w:rPr>
      </w:pPr>
    </w:p>
    <w:p w:rsidR="00013A20" w:rsidRPr="0065140D" w:rsidRDefault="00013A20" w:rsidP="0065140D">
      <w:pPr>
        <w:widowControl/>
        <w:adjustRightInd w:val="0"/>
        <w:snapToGrid w:val="0"/>
        <w:spacing w:line="360" w:lineRule="auto"/>
        <w:jc w:val="center"/>
        <w:rPr>
          <w:rFonts w:ascii="宋体" w:eastAsia="宋体" w:hAnsi="宋体"/>
          <w:sz w:val="24"/>
          <w:szCs w:val="24"/>
        </w:rPr>
      </w:pPr>
    </w:p>
    <w:sectPr w:rsidR="00013A20" w:rsidRPr="0065140D" w:rsidSect="00213A4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7A" w:rsidRDefault="00D83A7A" w:rsidP="009530B9">
      <w:r>
        <w:separator/>
      </w:r>
    </w:p>
  </w:endnote>
  <w:endnote w:type="continuationSeparator" w:id="0">
    <w:p w:rsidR="00D83A7A" w:rsidRDefault="00D83A7A" w:rsidP="0095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9770"/>
      <w:docPartObj>
        <w:docPartGallery w:val="Page Numbers (Bottom of Page)"/>
        <w:docPartUnique/>
      </w:docPartObj>
    </w:sdtPr>
    <w:sdtEndPr/>
    <w:sdtContent>
      <w:p w:rsidR="00B50590" w:rsidRDefault="00FD7066">
        <w:pPr>
          <w:pStyle w:val="a4"/>
          <w:jc w:val="right"/>
        </w:pPr>
        <w:r>
          <w:fldChar w:fldCharType="begin"/>
        </w:r>
        <w:r>
          <w:instrText xml:space="preserve"> PAGE   \* MERGEFORMAT </w:instrText>
        </w:r>
        <w:r>
          <w:fldChar w:fldCharType="separate"/>
        </w:r>
        <w:r w:rsidRPr="00FD7066">
          <w:rPr>
            <w:noProof/>
            <w:lang w:val="zh-CN"/>
          </w:rPr>
          <w:t>9</w:t>
        </w:r>
        <w:r>
          <w:rPr>
            <w:noProof/>
            <w:lang w:val="zh-CN"/>
          </w:rPr>
          <w:fldChar w:fldCharType="end"/>
        </w:r>
      </w:p>
    </w:sdtContent>
  </w:sdt>
  <w:p w:rsidR="00B50590" w:rsidRDefault="00B505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7A" w:rsidRDefault="00D83A7A" w:rsidP="009530B9">
      <w:r>
        <w:separator/>
      </w:r>
    </w:p>
  </w:footnote>
  <w:footnote w:type="continuationSeparator" w:id="0">
    <w:p w:rsidR="00D83A7A" w:rsidRDefault="00D83A7A" w:rsidP="00953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24ED"/>
    <w:rsid w:val="00010033"/>
    <w:rsid w:val="00013A20"/>
    <w:rsid w:val="00021A82"/>
    <w:rsid w:val="00036232"/>
    <w:rsid w:val="00125F69"/>
    <w:rsid w:val="00180599"/>
    <w:rsid w:val="001A0922"/>
    <w:rsid w:val="001B3996"/>
    <w:rsid w:val="00206733"/>
    <w:rsid w:val="00213A4B"/>
    <w:rsid w:val="00266289"/>
    <w:rsid w:val="00266CC4"/>
    <w:rsid w:val="002B6CD3"/>
    <w:rsid w:val="004946DF"/>
    <w:rsid w:val="00521302"/>
    <w:rsid w:val="0065140D"/>
    <w:rsid w:val="0066528D"/>
    <w:rsid w:val="00681E85"/>
    <w:rsid w:val="006D0AD6"/>
    <w:rsid w:val="006E4D42"/>
    <w:rsid w:val="00714756"/>
    <w:rsid w:val="007C6CD8"/>
    <w:rsid w:val="007D4EE9"/>
    <w:rsid w:val="007F1D69"/>
    <w:rsid w:val="00806322"/>
    <w:rsid w:val="00820F08"/>
    <w:rsid w:val="00840681"/>
    <w:rsid w:val="00850EBD"/>
    <w:rsid w:val="008C485A"/>
    <w:rsid w:val="008F2791"/>
    <w:rsid w:val="00921491"/>
    <w:rsid w:val="009415A9"/>
    <w:rsid w:val="009530B9"/>
    <w:rsid w:val="00970ABF"/>
    <w:rsid w:val="00970DD3"/>
    <w:rsid w:val="00994C8C"/>
    <w:rsid w:val="009A24ED"/>
    <w:rsid w:val="009F6F53"/>
    <w:rsid w:val="00AA43C1"/>
    <w:rsid w:val="00B50590"/>
    <w:rsid w:val="00BA2104"/>
    <w:rsid w:val="00BD10C0"/>
    <w:rsid w:val="00C27093"/>
    <w:rsid w:val="00C860AA"/>
    <w:rsid w:val="00C90977"/>
    <w:rsid w:val="00D83A7A"/>
    <w:rsid w:val="00DA4D3A"/>
    <w:rsid w:val="00ED3DD8"/>
    <w:rsid w:val="00EE1647"/>
    <w:rsid w:val="00EE164E"/>
    <w:rsid w:val="00EE49C7"/>
    <w:rsid w:val="00F16B71"/>
    <w:rsid w:val="00F2379E"/>
    <w:rsid w:val="00F2563B"/>
    <w:rsid w:val="00F47FAF"/>
    <w:rsid w:val="00F77B09"/>
    <w:rsid w:val="00FD70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 w:type="character" w:customStyle="1" w:styleId="1">
    <w:name w:val="标题1"/>
    <w:basedOn w:val="a0"/>
    <w:rsid w:val="00180599"/>
  </w:style>
  <w:style w:type="character" w:styleId="a7">
    <w:name w:val="Hyperlink"/>
    <w:basedOn w:val="a0"/>
    <w:uiPriority w:val="99"/>
    <w:semiHidden/>
    <w:unhideWhenUsed/>
    <w:rsid w:val="00EE1647"/>
    <w:rPr>
      <w:color w:val="0000FF"/>
      <w:u w:val="single"/>
    </w:rPr>
  </w:style>
  <w:style w:type="character" w:styleId="a8">
    <w:name w:val="FollowedHyperlink"/>
    <w:basedOn w:val="a0"/>
    <w:uiPriority w:val="99"/>
    <w:semiHidden/>
    <w:unhideWhenUsed/>
    <w:rsid w:val="00EE1647"/>
    <w:rPr>
      <w:color w:val="954F72" w:themeColor="followedHyperlink"/>
      <w:u w:val="single"/>
    </w:rPr>
  </w:style>
  <w:style w:type="character" w:customStyle="1" w:styleId="2">
    <w:name w:val="标题2"/>
    <w:basedOn w:val="a0"/>
    <w:rsid w:val="00AA43C1"/>
  </w:style>
  <w:style w:type="paragraph" w:customStyle="1" w:styleId="msonormal0">
    <w:name w:val="msonormal"/>
    <w:basedOn w:val="a"/>
    <w:rsid w:val="00970ABF"/>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FD7066"/>
    <w:rPr>
      <w:sz w:val="18"/>
      <w:szCs w:val="18"/>
    </w:rPr>
  </w:style>
  <w:style w:type="character" w:customStyle="1" w:styleId="Char1">
    <w:name w:val="批注框文本 Char"/>
    <w:basedOn w:val="a0"/>
    <w:link w:val="a9"/>
    <w:uiPriority w:val="99"/>
    <w:semiHidden/>
    <w:rsid w:val="00FD70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0972">
      <w:bodyDiv w:val="1"/>
      <w:marLeft w:val="0"/>
      <w:marRight w:val="0"/>
      <w:marTop w:val="0"/>
      <w:marBottom w:val="0"/>
      <w:divBdr>
        <w:top w:val="none" w:sz="0" w:space="0" w:color="auto"/>
        <w:left w:val="none" w:sz="0" w:space="0" w:color="auto"/>
        <w:bottom w:val="none" w:sz="0" w:space="0" w:color="auto"/>
        <w:right w:val="none" w:sz="0" w:space="0" w:color="auto"/>
      </w:divBdr>
    </w:div>
    <w:div w:id="134615174">
      <w:bodyDiv w:val="1"/>
      <w:marLeft w:val="0"/>
      <w:marRight w:val="0"/>
      <w:marTop w:val="0"/>
      <w:marBottom w:val="0"/>
      <w:divBdr>
        <w:top w:val="none" w:sz="0" w:space="0" w:color="auto"/>
        <w:left w:val="none" w:sz="0" w:space="0" w:color="auto"/>
        <w:bottom w:val="none" w:sz="0" w:space="0" w:color="auto"/>
        <w:right w:val="none" w:sz="0" w:space="0" w:color="auto"/>
      </w:divBdr>
    </w:div>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657147585">
      <w:bodyDiv w:val="1"/>
      <w:marLeft w:val="0"/>
      <w:marRight w:val="0"/>
      <w:marTop w:val="0"/>
      <w:marBottom w:val="0"/>
      <w:divBdr>
        <w:top w:val="none" w:sz="0" w:space="0" w:color="auto"/>
        <w:left w:val="none" w:sz="0" w:space="0" w:color="auto"/>
        <w:bottom w:val="none" w:sz="0" w:space="0" w:color="auto"/>
        <w:right w:val="none" w:sz="0" w:space="0" w:color="auto"/>
      </w:divBdr>
    </w:div>
    <w:div w:id="697898476">
      <w:bodyDiv w:val="1"/>
      <w:marLeft w:val="0"/>
      <w:marRight w:val="0"/>
      <w:marTop w:val="0"/>
      <w:marBottom w:val="0"/>
      <w:divBdr>
        <w:top w:val="none" w:sz="0" w:space="0" w:color="auto"/>
        <w:left w:val="none" w:sz="0" w:space="0" w:color="auto"/>
        <w:bottom w:val="none" w:sz="0" w:space="0" w:color="auto"/>
        <w:right w:val="none" w:sz="0" w:space="0" w:color="auto"/>
      </w:divBdr>
    </w:div>
    <w:div w:id="840002124">
      <w:bodyDiv w:val="1"/>
      <w:marLeft w:val="0"/>
      <w:marRight w:val="0"/>
      <w:marTop w:val="0"/>
      <w:marBottom w:val="0"/>
      <w:divBdr>
        <w:top w:val="none" w:sz="0" w:space="0" w:color="auto"/>
        <w:left w:val="none" w:sz="0" w:space="0" w:color="auto"/>
        <w:bottom w:val="none" w:sz="0" w:space="0" w:color="auto"/>
        <w:right w:val="none" w:sz="0" w:space="0" w:color="auto"/>
      </w:divBdr>
    </w:div>
    <w:div w:id="891161900">
      <w:bodyDiv w:val="1"/>
      <w:marLeft w:val="0"/>
      <w:marRight w:val="0"/>
      <w:marTop w:val="0"/>
      <w:marBottom w:val="0"/>
      <w:divBdr>
        <w:top w:val="none" w:sz="0" w:space="0" w:color="auto"/>
        <w:left w:val="none" w:sz="0" w:space="0" w:color="auto"/>
        <w:bottom w:val="none" w:sz="0" w:space="0" w:color="auto"/>
        <w:right w:val="none" w:sz="0" w:space="0" w:color="auto"/>
      </w:divBdr>
    </w:div>
    <w:div w:id="987632502">
      <w:bodyDiv w:val="1"/>
      <w:marLeft w:val="0"/>
      <w:marRight w:val="0"/>
      <w:marTop w:val="0"/>
      <w:marBottom w:val="0"/>
      <w:divBdr>
        <w:top w:val="none" w:sz="0" w:space="0" w:color="auto"/>
        <w:left w:val="none" w:sz="0" w:space="0" w:color="auto"/>
        <w:bottom w:val="none" w:sz="0" w:space="0" w:color="auto"/>
        <w:right w:val="none" w:sz="0" w:space="0" w:color="auto"/>
      </w:divBdr>
      <w:divsChild>
        <w:div w:id="912932153">
          <w:marLeft w:val="0"/>
          <w:marRight w:val="0"/>
          <w:marTop w:val="0"/>
          <w:marBottom w:val="0"/>
          <w:divBdr>
            <w:top w:val="none" w:sz="0" w:space="0" w:color="auto"/>
            <w:left w:val="none" w:sz="0" w:space="0" w:color="auto"/>
            <w:bottom w:val="none" w:sz="0" w:space="0" w:color="auto"/>
            <w:right w:val="none" w:sz="0" w:space="0" w:color="auto"/>
          </w:divBdr>
        </w:div>
      </w:divsChild>
    </w:div>
    <w:div w:id="1157722140">
      <w:bodyDiv w:val="1"/>
      <w:marLeft w:val="0"/>
      <w:marRight w:val="0"/>
      <w:marTop w:val="0"/>
      <w:marBottom w:val="0"/>
      <w:divBdr>
        <w:top w:val="none" w:sz="0" w:space="0" w:color="auto"/>
        <w:left w:val="none" w:sz="0" w:space="0" w:color="auto"/>
        <w:bottom w:val="none" w:sz="0" w:space="0" w:color="auto"/>
        <w:right w:val="none" w:sz="0" w:space="0" w:color="auto"/>
      </w:divBdr>
    </w:div>
    <w:div w:id="1373924709">
      <w:bodyDiv w:val="1"/>
      <w:marLeft w:val="0"/>
      <w:marRight w:val="0"/>
      <w:marTop w:val="0"/>
      <w:marBottom w:val="0"/>
      <w:divBdr>
        <w:top w:val="none" w:sz="0" w:space="0" w:color="auto"/>
        <w:left w:val="none" w:sz="0" w:space="0" w:color="auto"/>
        <w:bottom w:val="none" w:sz="0" w:space="0" w:color="auto"/>
        <w:right w:val="none" w:sz="0" w:space="0" w:color="auto"/>
      </w:divBdr>
    </w:div>
    <w:div w:id="1572034639">
      <w:bodyDiv w:val="1"/>
      <w:marLeft w:val="0"/>
      <w:marRight w:val="0"/>
      <w:marTop w:val="0"/>
      <w:marBottom w:val="0"/>
      <w:divBdr>
        <w:top w:val="none" w:sz="0" w:space="0" w:color="auto"/>
        <w:left w:val="none" w:sz="0" w:space="0" w:color="auto"/>
        <w:bottom w:val="none" w:sz="0" w:space="0" w:color="auto"/>
        <w:right w:val="none" w:sz="0" w:space="0" w:color="auto"/>
      </w:divBdr>
    </w:div>
    <w:div w:id="1663124342">
      <w:bodyDiv w:val="1"/>
      <w:marLeft w:val="0"/>
      <w:marRight w:val="0"/>
      <w:marTop w:val="0"/>
      <w:marBottom w:val="0"/>
      <w:divBdr>
        <w:top w:val="none" w:sz="0" w:space="0" w:color="auto"/>
        <w:left w:val="none" w:sz="0" w:space="0" w:color="auto"/>
        <w:bottom w:val="none" w:sz="0" w:space="0" w:color="auto"/>
        <w:right w:val="none" w:sz="0" w:space="0" w:color="auto"/>
      </w:divBdr>
    </w:div>
    <w:div w:id="1755198168">
      <w:bodyDiv w:val="1"/>
      <w:marLeft w:val="0"/>
      <w:marRight w:val="0"/>
      <w:marTop w:val="0"/>
      <w:marBottom w:val="0"/>
      <w:divBdr>
        <w:top w:val="none" w:sz="0" w:space="0" w:color="auto"/>
        <w:left w:val="none" w:sz="0" w:space="0" w:color="auto"/>
        <w:bottom w:val="none" w:sz="0" w:space="0" w:color="auto"/>
        <w:right w:val="none" w:sz="0" w:space="0" w:color="auto"/>
      </w:divBdr>
      <w:divsChild>
        <w:div w:id="1786268931">
          <w:marLeft w:val="0"/>
          <w:marRight w:val="0"/>
          <w:marTop w:val="0"/>
          <w:marBottom w:val="0"/>
          <w:divBdr>
            <w:top w:val="none" w:sz="0" w:space="0" w:color="auto"/>
            <w:left w:val="none" w:sz="0" w:space="0" w:color="auto"/>
            <w:bottom w:val="none" w:sz="0" w:space="0" w:color="auto"/>
            <w:right w:val="none" w:sz="0" w:space="0" w:color="auto"/>
          </w:divBdr>
        </w:div>
        <w:div w:id="378480549">
          <w:marLeft w:val="0"/>
          <w:marRight w:val="0"/>
          <w:marTop w:val="0"/>
          <w:marBottom w:val="0"/>
          <w:divBdr>
            <w:top w:val="none" w:sz="0" w:space="0" w:color="auto"/>
            <w:left w:val="none" w:sz="0" w:space="0" w:color="auto"/>
            <w:bottom w:val="none" w:sz="0" w:space="0" w:color="auto"/>
            <w:right w:val="none" w:sz="0" w:space="0" w:color="auto"/>
          </w:divBdr>
        </w:div>
      </w:divsChild>
    </w:div>
    <w:div w:id="1845852089">
      <w:bodyDiv w:val="1"/>
      <w:marLeft w:val="0"/>
      <w:marRight w:val="0"/>
      <w:marTop w:val="0"/>
      <w:marBottom w:val="0"/>
      <w:divBdr>
        <w:top w:val="none" w:sz="0" w:space="0" w:color="auto"/>
        <w:left w:val="none" w:sz="0" w:space="0" w:color="auto"/>
        <w:bottom w:val="none" w:sz="0" w:space="0" w:color="auto"/>
        <w:right w:val="none" w:sz="0" w:space="0" w:color="auto"/>
      </w:divBdr>
      <w:divsChild>
        <w:div w:id="1340160050">
          <w:marLeft w:val="0"/>
          <w:marRight w:val="0"/>
          <w:marTop w:val="0"/>
          <w:marBottom w:val="0"/>
          <w:divBdr>
            <w:top w:val="none" w:sz="0" w:space="0" w:color="auto"/>
            <w:left w:val="none" w:sz="0" w:space="0" w:color="auto"/>
            <w:bottom w:val="none" w:sz="0" w:space="0" w:color="auto"/>
            <w:right w:val="none" w:sz="0" w:space="0" w:color="auto"/>
          </w:divBdr>
        </w:div>
      </w:divsChild>
    </w:div>
    <w:div w:id="1968507380">
      <w:bodyDiv w:val="1"/>
      <w:marLeft w:val="0"/>
      <w:marRight w:val="0"/>
      <w:marTop w:val="0"/>
      <w:marBottom w:val="0"/>
      <w:divBdr>
        <w:top w:val="none" w:sz="0" w:space="0" w:color="auto"/>
        <w:left w:val="none" w:sz="0" w:space="0" w:color="auto"/>
        <w:bottom w:val="none" w:sz="0" w:space="0" w:color="auto"/>
        <w:right w:val="none" w:sz="0" w:space="0" w:color="auto"/>
      </w:divBdr>
      <w:divsChild>
        <w:div w:id="796871668">
          <w:marLeft w:val="0"/>
          <w:marRight w:val="0"/>
          <w:marTop w:val="0"/>
          <w:marBottom w:val="0"/>
          <w:divBdr>
            <w:top w:val="none" w:sz="0" w:space="0" w:color="auto"/>
            <w:left w:val="none" w:sz="0" w:space="0" w:color="auto"/>
            <w:bottom w:val="none" w:sz="0" w:space="0" w:color="auto"/>
            <w:right w:val="none" w:sz="0" w:space="0" w:color="auto"/>
          </w:divBdr>
        </w:div>
        <w:div w:id="2070880431">
          <w:marLeft w:val="0"/>
          <w:marRight w:val="0"/>
          <w:marTop w:val="0"/>
          <w:marBottom w:val="0"/>
          <w:divBdr>
            <w:top w:val="none" w:sz="0" w:space="0" w:color="auto"/>
            <w:left w:val="none" w:sz="0" w:space="0" w:color="auto"/>
            <w:bottom w:val="none" w:sz="0" w:space="0" w:color="auto"/>
            <w:right w:val="none" w:sz="0" w:space="0" w:color="auto"/>
          </w:divBdr>
        </w:div>
      </w:divsChild>
    </w:div>
    <w:div w:id="2037660271">
      <w:bodyDiv w:val="1"/>
      <w:marLeft w:val="0"/>
      <w:marRight w:val="0"/>
      <w:marTop w:val="0"/>
      <w:marBottom w:val="0"/>
      <w:divBdr>
        <w:top w:val="none" w:sz="0" w:space="0" w:color="auto"/>
        <w:left w:val="none" w:sz="0" w:space="0" w:color="auto"/>
        <w:bottom w:val="none" w:sz="0" w:space="0" w:color="auto"/>
        <w:right w:val="none" w:sz="0" w:space="0" w:color="auto"/>
      </w:divBdr>
      <w:divsChild>
        <w:div w:id="1775174863">
          <w:marLeft w:val="0"/>
          <w:marRight w:val="0"/>
          <w:marTop w:val="0"/>
          <w:marBottom w:val="0"/>
          <w:divBdr>
            <w:top w:val="none" w:sz="0" w:space="0" w:color="auto"/>
            <w:left w:val="none" w:sz="0" w:space="0" w:color="auto"/>
            <w:bottom w:val="none" w:sz="0" w:space="0" w:color="auto"/>
            <w:right w:val="none" w:sz="0" w:space="0" w:color="auto"/>
          </w:divBdr>
        </w:div>
        <w:div w:id="2126461782">
          <w:marLeft w:val="0"/>
          <w:marRight w:val="0"/>
          <w:marTop w:val="0"/>
          <w:marBottom w:val="0"/>
          <w:divBdr>
            <w:top w:val="none" w:sz="0" w:space="0" w:color="auto"/>
            <w:left w:val="none" w:sz="0" w:space="0" w:color="auto"/>
            <w:bottom w:val="none" w:sz="0" w:space="0" w:color="auto"/>
            <w:right w:val="none" w:sz="0" w:space="0" w:color="auto"/>
          </w:divBdr>
        </w:div>
      </w:divsChild>
    </w:div>
    <w:div w:id="2065792173">
      <w:bodyDiv w:val="1"/>
      <w:marLeft w:val="0"/>
      <w:marRight w:val="0"/>
      <w:marTop w:val="0"/>
      <w:marBottom w:val="0"/>
      <w:divBdr>
        <w:top w:val="none" w:sz="0" w:space="0" w:color="auto"/>
        <w:left w:val="none" w:sz="0" w:space="0" w:color="auto"/>
        <w:bottom w:val="none" w:sz="0" w:space="0" w:color="auto"/>
        <w:right w:val="none" w:sz="0" w:space="0" w:color="auto"/>
      </w:divBdr>
      <w:divsChild>
        <w:div w:id="847132872">
          <w:marLeft w:val="0"/>
          <w:marRight w:val="0"/>
          <w:marTop w:val="0"/>
          <w:marBottom w:val="0"/>
          <w:divBdr>
            <w:top w:val="none" w:sz="0" w:space="0" w:color="auto"/>
            <w:left w:val="none" w:sz="0" w:space="0" w:color="auto"/>
            <w:bottom w:val="none" w:sz="0" w:space="0" w:color="auto"/>
            <w:right w:val="none" w:sz="0" w:space="0" w:color="auto"/>
          </w:divBdr>
        </w:div>
        <w:div w:id="2092311728">
          <w:marLeft w:val="0"/>
          <w:marRight w:val="0"/>
          <w:marTop w:val="0"/>
          <w:marBottom w:val="0"/>
          <w:divBdr>
            <w:top w:val="none" w:sz="0" w:space="0" w:color="auto"/>
            <w:left w:val="none" w:sz="0" w:space="0" w:color="auto"/>
            <w:bottom w:val="none" w:sz="0" w:space="0" w:color="auto"/>
            <w:right w:val="none" w:sz="0" w:space="0" w:color="auto"/>
          </w:divBdr>
        </w:div>
      </w:divsChild>
    </w:div>
    <w:div w:id="21312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safety.gov.cn/newpage/Contents/Channel_5351/2011/0921/149181/files_founder_1196526626/2825130246.doc" TargetMode="External"/><Relationship Id="rId3" Type="http://schemas.openxmlformats.org/officeDocument/2006/relationships/settings" Target="settings.xml"/><Relationship Id="rId7" Type="http://schemas.openxmlformats.org/officeDocument/2006/relationships/hyperlink" Target="http://www.chinasafety.gov.cn/newpage/Contents/Channel_5351/2011/0921/149181/files_founder_1196526626/30060224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xuechy</cp:lastModifiedBy>
  <cp:revision>10</cp:revision>
  <cp:lastPrinted>2022-11-08T01:01:00Z</cp:lastPrinted>
  <dcterms:created xsi:type="dcterms:W3CDTF">2017-04-20T02:53:00Z</dcterms:created>
  <dcterms:modified xsi:type="dcterms:W3CDTF">2022-11-08T01:02:00Z</dcterms:modified>
</cp:coreProperties>
</file>